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CB1374"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The U.S. History; Book Review.</w:t>
      </w: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Name.</w:t>
      </w: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Institution.</w:t>
      </w:r>
    </w:p>
    <w:p w:rsidR="001D47F9" w:rsidRP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Date.</w:t>
      </w: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p>
    <w:p w:rsidR="001D47F9" w:rsidRDefault="001D47F9"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lastRenderedPageBreak/>
        <w:t>The U.S. History: Book Review.</w:t>
      </w:r>
    </w:p>
    <w:p w:rsidR="000E45E1" w:rsidRPr="000E45E1" w:rsidRDefault="000E45E1" w:rsidP="000E45E1">
      <w:pPr>
        <w:spacing w:line="480" w:lineRule="auto"/>
        <w:ind w:left="720" w:hanging="720"/>
        <w:rPr>
          <w:rFonts w:ascii="Times New Roman" w:hAnsi="Times New Roman" w:cs="Times New Roman"/>
          <w:b/>
          <w:color w:val="222222"/>
          <w:sz w:val="24"/>
          <w:szCs w:val="24"/>
          <w:shd w:val="clear" w:color="auto" w:fill="FFFFFF"/>
        </w:rPr>
      </w:pPr>
      <w:r w:rsidRPr="000E45E1">
        <w:rPr>
          <w:rFonts w:ascii="Times New Roman" w:hAnsi="Times New Roman" w:cs="Times New Roman"/>
          <w:b/>
          <w:color w:val="222222"/>
          <w:sz w:val="24"/>
          <w:szCs w:val="24"/>
          <w:shd w:val="clear" w:color="auto" w:fill="FFFFFF"/>
        </w:rPr>
        <w:t>Holton, W. (2011). </w:t>
      </w:r>
      <w:r w:rsidRPr="000E45E1">
        <w:rPr>
          <w:rFonts w:ascii="Times New Roman" w:hAnsi="Times New Roman" w:cs="Times New Roman"/>
          <w:b/>
          <w:i/>
          <w:iCs/>
          <w:color w:val="222222"/>
          <w:sz w:val="24"/>
          <w:szCs w:val="24"/>
          <w:shd w:val="clear" w:color="auto" w:fill="FFFFFF"/>
        </w:rPr>
        <w:t>Forced founders: Indians, debtors, slaves, and the making of the American Revolution in Virginia</w:t>
      </w:r>
      <w:r w:rsidRPr="000E45E1">
        <w:rPr>
          <w:rFonts w:ascii="Times New Roman" w:hAnsi="Times New Roman" w:cs="Times New Roman"/>
          <w:b/>
          <w:color w:val="222222"/>
          <w:sz w:val="24"/>
          <w:szCs w:val="24"/>
          <w:shd w:val="clear" w:color="auto" w:fill="FFFFFF"/>
        </w:rPr>
        <w:t>. UNC Press Books.</w:t>
      </w:r>
    </w:p>
    <w:p w:rsidR="00CB1374" w:rsidRPr="001D47F9" w:rsidRDefault="00CB1374" w:rsidP="001D47F9">
      <w:pPr>
        <w:spacing w:line="480" w:lineRule="auto"/>
        <w:ind w:firstLine="720"/>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Introduction.</w:t>
      </w:r>
    </w:p>
    <w:p w:rsidR="00CB1374" w:rsidRPr="001D47F9"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Holton (2011) argues that the majority of Americans tends to think more of the Virginia gentry, the colonial elite that gave them Thomas Jefferson as well as George Washington</w:t>
      </w:r>
      <w:r w:rsidR="001D47F9">
        <w:rPr>
          <w:rFonts w:ascii="Times New Roman" w:hAnsi="Times New Roman" w:cs="Times New Roman"/>
          <w:color w:val="222222"/>
          <w:sz w:val="24"/>
          <w:szCs w:val="24"/>
          <w:shd w:val="clear" w:color="auto" w:fill="FFFFFF"/>
        </w:rPr>
        <w:t xml:space="preserve"> and </w:t>
      </w:r>
      <w:r w:rsidR="001D47F9" w:rsidRPr="001D47F9">
        <w:rPr>
          <w:rFonts w:ascii="Times New Roman" w:hAnsi="Times New Roman" w:cs="Times New Roman"/>
          <w:color w:val="222222"/>
          <w:sz w:val="24"/>
          <w:szCs w:val="24"/>
          <w:shd w:val="clear" w:color="auto" w:fill="FFFFFF"/>
        </w:rPr>
        <w:t>the</w:t>
      </w:r>
      <w:r w:rsidRPr="001D47F9">
        <w:rPr>
          <w:rFonts w:ascii="Times New Roman" w:hAnsi="Times New Roman" w:cs="Times New Roman"/>
          <w:color w:val="222222"/>
          <w:sz w:val="24"/>
          <w:szCs w:val="24"/>
          <w:shd w:val="clear" w:color="auto" w:fill="FFFFFF"/>
        </w:rPr>
        <w:t xml:space="preserve"> greatest political elites whose presence has been a sort of pride and optimism to the ruling class. However, they do no</w:t>
      </w:r>
      <w:r w:rsidR="001D47F9">
        <w:rPr>
          <w:rFonts w:ascii="Times New Roman" w:hAnsi="Times New Roman" w:cs="Times New Roman"/>
          <w:color w:val="222222"/>
          <w:sz w:val="24"/>
          <w:szCs w:val="24"/>
          <w:shd w:val="clear" w:color="auto" w:fill="FFFFFF"/>
        </w:rPr>
        <w:t>t think about the gentlemen resul</w:t>
      </w:r>
      <w:r w:rsidRPr="001D47F9">
        <w:rPr>
          <w:rFonts w:ascii="Times New Roman" w:hAnsi="Times New Roman" w:cs="Times New Roman"/>
          <w:color w:val="222222"/>
          <w:sz w:val="24"/>
          <w:szCs w:val="24"/>
          <w:shd w:val="clear" w:color="auto" w:fill="FFFFFF"/>
        </w:rPr>
        <w:t>ting to desperate measures like placing the weapons on the hands of slaves as well as crashing down the gates of the prisons to relieve the convicted innocent souls. However, Jacob Hite, one of the highly recognized wealthy men in Berkeley County, Virginia in 1774 did more than the public could imagine. The desperate encounters by men such as Hite is found to be the brainchild of the American revolution.</w:t>
      </w:r>
    </w:p>
    <w:p w:rsidR="00CB1374" w:rsidRPr="006E1417" w:rsidRDefault="00CB1374" w:rsidP="001D47F9">
      <w:pPr>
        <w:spacing w:line="480" w:lineRule="auto"/>
        <w:ind w:firstLine="720"/>
        <w:jc w:val="center"/>
        <w:rPr>
          <w:rFonts w:ascii="Times New Roman" w:hAnsi="Times New Roman" w:cs="Times New Roman"/>
          <w:b/>
          <w:color w:val="222222"/>
          <w:sz w:val="24"/>
          <w:szCs w:val="24"/>
          <w:shd w:val="clear" w:color="auto" w:fill="FFFFFF"/>
        </w:rPr>
      </w:pPr>
      <w:r w:rsidRPr="006E1417">
        <w:rPr>
          <w:rFonts w:ascii="Times New Roman" w:hAnsi="Times New Roman" w:cs="Times New Roman"/>
          <w:b/>
          <w:color w:val="222222"/>
          <w:sz w:val="24"/>
          <w:szCs w:val="24"/>
          <w:shd w:val="clear" w:color="auto" w:fill="FFFFFF"/>
        </w:rPr>
        <w:t>Thesis.</w:t>
      </w:r>
    </w:p>
    <w:p w:rsidR="00CB1374" w:rsidRPr="001D47F9"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Holton (2011) gives a backstory of the Virginia’s elite political leaders in an effort to support the declaration of independence as well as the rebellion against England colonies. The main argument in his book is that Indians, slaves, merchants as well as small farmers (each in their own settings) brought a growing ambition to the political elites like Jefferson and Washington among other leaders and hence this helped to motivate their advocacy for independence (Holton, 2011). In other words, when the Virginia elites initiated their struggle to preserve as well as diversify their freedom, they were significantly impacted by other freedom struggles movement initiated by slaves, Indians, merchants, debtors, and small farmers.</w:t>
      </w:r>
    </w:p>
    <w:p w:rsidR="00CB1374" w:rsidRPr="006E1417" w:rsidRDefault="00CB1374" w:rsidP="001D47F9">
      <w:pPr>
        <w:spacing w:line="480" w:lineRule="auto"/>
        <w:ind w:firstLine="720"/>
        <w:jc w:val="center"/>
        <w:rPr>
          <w:rFonts w:ascii="Times New Roman" w:hAnsi="Times New Roman" w:cs="Times New Roman"/>
          <w:b/>
          <w:color w:val="222222"/>
          <w:sz w:val="24"/>
          <w:szCs w:val="24"/>
          <w:shd w:val="clear" w:color="auto" w:fill="FFFFFF"/>
        </w:rPr>
      </w:pPr>
      <w:r w:rsidRPr="006E1417">
        <w:rPr>
          <w:rFonts w:ascii="Times New Roman" w:hAnsi="Times New Roman" w:cs="Times New Roman"/>
          <w:b/>
          <w:color w:val="222222"/>
          <w:sz w:val="24"/>
          <w:szCs w:val="24"/>
          <w:shd w:val="clear" w:color="auto" w:fill="FFFFFF"/>
        </w:rPr>
        <w:t>Development.</w:t>
      </w:r>
    </w:p>
    <w:p w:rsidR="006E1417"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lastRenderedPageBreak/>
        <w:t xml:space="preserve">The author provided rich literature by exploring other obvious and not-so-obvious of the outlined interest groups. In this concern, he describes the not wholly successful effort of the powerful landowners (the so-called land speculators) to achieve and expound their ownership and control of the main factors of production; that is, land, labor, and capital. The author provides inevitable literature concerning the land speculators versus Indians and the privy council. The Indians were oppressed by land speculators and settlers concerning the ownership of their own land.  In this setting, the Appalachian grant which comprised mainly of Virginia gentlemen lobbied for </w:t>
      </w:r>
      <w:r w:rsidR="006E1417" w:rsidRPr="001D47F9">
        <w:rPr>
          <w:rFonts w:ascii="Times New Roman" w:hAnsi="Times New Roman" w:cs="Times New Roman"/>
          <w:color w:val="222222"/>
          <w:sz w:val="24"/>
          <w:szCs w:val="24"/>
          <w:shd w:val="clear" w:color="auto" w:fill="FFFFFF"/>
        </w:rPr>
        <w:t>anti-American</w:t>
      </w:r>
      <w:r w:rsidRPr="001D47F9">
        <w:rPr>
          <w:rFonts w:ascii="Times New Roman" w:hAnsi="Times New Roman" w:cs="Times New Roman"/>
          <w:color w:val="222222"/>
          <w:sz w:val="24"/>
          <w:szCs w:val="24"/>
          <w:shd w:val="clear" w:color="auto" w:fill="FFFFFF"/>
        </w:rPr>
        <w:t xml:space="preserve"> and it was very averse in making grants.</w:t>
      </w:r>
    </w:p>
    <w:p w:rsidR="00CB1374" w:rsidRPr="001D47F9"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 xml:space="preserve"> George Washington was more concerned about the issue, and he was optimistic that the proclamation of 1763 meant nothing more than temporary independence to the innocent and quiet minds of the Indians (Holton, 2011). However, the proclamation of 1763 was found to defame the treaty of hard labor; a factor which led to growing controversy about the position of land speculators. In this setting, George Washington was highly amazed by the public efforts to restore their autonomy. He asked the executive council for the land bounties that the British government had promised (Holton, 2011). This literature significantly lines with the outlined thesis. As observed, the actions of George Washington were sign</w:t>
      </w:r>
      <w:bookmarkStart w:id="0" w:name="_GoBack"/>
      <w:bookmarkEnd w:id="0"/>
      <w:r w:rsidRPr="001D47F9">
        <w:rPr>
          <w:rFonts w:ascii="Times New Roman" w:hAnsi="Times New Roman" w:cs="Times New Roman"/>
          <w:color w:val="222222"/>
          <w:sz w:val="24"/>
          <w:szCs w:val="24"/>
          <w:shd w:val="clear" w:color="auto" w:fill="FFFFFF"/>
        </w:rPr>
        <w:t>ificantly influenced by the powerful actions of the interest groups.</w:t>
      </w:r>
    </w:p>
    <w:p w:rsidR="00D24555" w:rsidRPr="005214D2" w:rsidRDefault="00D9462B" w:rsidP="00D2455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structure of Holston’s work is both chronological and structural; a factor which is clearly defined by the order of the author’s main arguments. First, </w:t>
      </w:r>
      <w:r w:rsidR="00E9091D">
        <w:rPr>
          <w:rFonts w:ascii="Times New Roman" w:hAnsi="Times New Roman" w:cs="Times New Roman"/>
          <w:color w:val="222222"/>
          <w:sz w:val="24"/>
          <w:szCs w:val="24"/>
          <w:shd w:val="clear" w:color="auto" w:fill="FFFFFF"/>
        </w:rPr>
        <w:t>the author</w:t>
      </w:r>
      <w:r w:rsidR="00CB1374" w:rsidRPr="001D47F9">
        <w:rPr>
          <w:rFonts w:ascii="Times New Roman" w:hAnsi="Times New Roman" w:cs="Times New Roman"/>
          <w:color w:val="222222"/>
          <w:sz w:val="24"/>
          <w:szCs w:val="24"/>
          <w:shd w:val="clear" w:color="auto" w:fill="FFFFFF"/>
        </w:rPr>
        <w:t xml:space="preserve"> provides an open section “grievances 1763 – 1774” which traces how the natives resisted colonial expansion in connection with British official’s determination on avoiding the chances for another expensive Indian war to frustrate the </w:t>
      </w:r>
      <w:r w:rsidR="001D6C05" w:rsidRPr="001D47F9">
        <w:rPr>
          <w:rFonts w:ascii="Times New Roman" w:hAnsi="Times New Roman" w:cs="Times New Roman"/>
          <w:color w:val="222222"/>
          <w:sz w:val="24"/>
          <w:szCs w:val="24"/>
          <w:shd w:val="clear" w:color="auto" w:fill="FFFFFF"/>
        </w:rPr>
        <w:t>Virg</w:t>
      </w:r>
      <w:r w:rsidR="001D6C05">
        <w:rPr>
          <w:rFonts w:ascii="Times New Roman" w:hAnsi="Times New Roman" w:cs="Times New Roman"/>
          <w:color w:val="222222"/>
          <w:sz w:val="24"/>
          <w:szCs w:val="24"/>
          <w:shd w:val="clear" w:color="auto" w:fill="FFFFFF"/>
        </w:rPr>
        <w:t>i</w:t>
      </w:r>
      <w:r w:rsidR="001D6C05" w:rsidRPr="001D47F9">
        <w:rPr>
          <w:rFonts w:ascii="Times New Roman" w:hAnsi="Times New Roman" w:cs="Times New Roman"/>
          <w:color w:val="222222"/>
          <w:sz w:val="24"/>
          <w:szCs w:val="24"/>
          <w:shd w:val="clear" w:color="auto" w:fill="FFFFFF"/>
        </w:rPr>
        <w:t>nia’s</w:t>
      </w:r>
      <w:r w:rsidR="00CB1374" w:rsidRPr="001D47F9">
        <w:rPr>
          <w:rFonts w:ascii="Times New Roman" w:hAnsi="Times New Roman" w:cs="Times New Roman"/>
          <w:color w:val="222222"/>
          <w:sz w:val="24"/>
          <w:szCs w:val="24"/>
          <w:shd w:val="clear" w:color="auto" w:fill="FFFFFF"/>
        </w:rPr>
        <w:t xml:space="preserve"> many land speculators. However, the slave owners and tobacco planters seemed to be deeply upset by the imperial trade policies. </w:t>
      </w:r>
      <w:r w:rsidR="00D24555" w:rsidRPr="005214D2">
        <w:rPr>
          <w:rFonts w:ascii="Times New Roman" w:hAnsi="Times New Roman" w:cs="Times New Roman"/>
          <w:color w:val="222222"/>
          <w:sz w:val="24"/>
          <w:szCs w:val="24"/>
          <w:shd w:val="clear" w:color="auto" w:fill="FFFFFF"/>
        </w:rPr>
        <w:t xml:space="preserve">Next, the author shares </w:t>
      </w:r>
      <w:r w:rsidR="00D24555" w:rsidRPr="005214D2">
        <w:rPr>
          <w:rFonts w:ascii="Times New Roman" w:hAnsi="Times New Roman" w:cs="Times New Roman"/>
          <w:color w:val="222222"/>
          <w:sz w:val="24"/>
          <w:szCs w:val="24"/>
          <w:shd w:val="clear" w:color="auto" w:fill="FFFFFF"/>
        </w:rPr>
        <w:lastRenderedPageBreak/>
        <w:t xml:space="preserve">information about the colony’s trade boycotts of 1769 and 1774. Another point of concern in the authors’ work is how the common farmers and slaves, in varied ways, were threatened by the Virginia gentry in the mid-1770’s; a factor which forced them to fight for independence. The author also sheds light about the fractious “spirit of the people” in 1776 and contemplates </w:t>
      </w:r>
      <w:r w:rsidR="005214D2" w:rsidRPr="005214D2">
        <w:rPr>
          <w:rFonts w:ascii="Times New Roman" w:hAnsi="Times New Roman" w:cs="Times New Roman"/>
          <w:color w:val="222222"/>
          <w:sz w:val="24"/>
          <w:szCs w:val="24"/>
          <w:shd w:val="clear" w:color="auto" w:fill="FFFFFF"/>
        </w:rPr>
        <w:t xml:space="preserve">the </w:t>
      </w:r>
      <w:r w:rsidR="00D24555" w:rsidRPr="005214D2">
        <w:rPr>
          <w:rFonts w:ascii="Times New Roman" w:hAnsi="Times New Roman" w:cs="Times New Roman"/>
          <w:color w:val="222222"/>
          <w:sz w:val="24"/>
          <w:szCs w:val="24"/>
          <w:shd w:val="clear" w:color="auto" w:fill="FFFFFF"/>
        </w:rPr>
        <w:t>effects Virginia’s independence had for all the people involved</w:t>
      </w:r>
      <w:r w:rsidR="005214D2" w:rsidRPr="005214D2">
        <w:rPr>
          <w:rFonts w:ascii="Times New Roman" w:hAnsi="Times New Roman" w:cs="Times New Roman"/>
          <w:color w:val="222222"/>
          <w:sz w:val="24"/>
          <w:szCs w:val="24"/>
          <w:shd w:val="clear" w:color="auto" w:fill="FFFFFF"/>
        </w:rPr>
        <w:t xml:space="preserve"> </w:t>
      </w:r>
      <w:r w:rsidR="00D24555" w:rsidRPr="005214D2">
        <w:rPr>
          <w:rFonts w:ascii="Times New Roman" w:hAnsi="Times New Roman" w:cs="Times New Roman"/>
          <w:color w:val="222222"/>
          <w:sz w:val="24"/>
          <w:szCs w:val="24"/>
          <w:shd w:val="clear" w:color="auto" w:fill="FFFFFF"/>
        </w:rPr>
        <w:t xml:space="preserve">(Holton, 2011). </w:t>
      </w:r>
    </w:p>
    <w:p w:rsidR="001D6C05" w:rsidRPr="005214D2" w:rsidRDefault="00D24555" w:rsidP="00D24555">
      <w:pPr>
        <w:spacing w:line="480" w:lineRule="auto"/>
        <w:ind w:firstLine="720"/>
        <w:rPr>
          <w:rFonts w:ascii="Times New Roman" w:hAnsi="Times New Roman" w:cs="Times New Roman"/>
          <w:color w:val="222222"/>
          <w:sz w:val="24"/>
          <w:szCs w:val="24"/>
          <w:highlight w:val="yellow"/>
          <w:shd w:val="clear" w:color="auto" w:fill="FFFFFF"/>
        </w:rPr>
      </w:pPr>
      <w:r w:rsidRPr="005214D2">
        <w:rPr>
          <w:rFonts w:ascii="Times New Roman" w:hAnsi="Times New Roman" w:cs="Times New Roman"/>
          <w:color w:val="222222"/>
          <w:sz w:val="24"/>
          <w:szCs w:val="24"/>
          <w:shd w:val="clear" w:color="auto" w:fill="FFFFFF"/>
        </w:rPr>
        <w:t xml:space="preserve"> Other groups which mainly comprised of tobacco merchants of English and Scotland were also motivated to get into the conflict. As argued, tobacco growers owed huge debts to the British merchants In this concerns, the growers blamed their debts partly on the Navigation Acts; a factor which had given the British merchant</w:t>
      </w:r>
      <w:r w:rsidR="005214D2" w:rsidRPr="005214D2">
        <w:rPr>
          <w:rFonts w:ascii="Times New Roman" w:hAnsi="Times New Roman" w:cs="Times New Roman"/>
          <w:color w:val="222222"/>
          <w:sz w:val="24"/>
          <w:szCs w:val="24"/>
          <w:shd w:val="clear" w:color="auto" w:fill="FFFFFF"/>
        </w:rPr>
        <w:t>s</w:t>
      </w:r>
      <w:r w:rsidRPr="005214D2">
        <w:rPr>
          <w:rFonts w:ascii="Times New Roman" w:hAnsi="Times New Roman" w:cs="Times New Roman"/>
          <w:color w:val="222222"/>
          <w:sz w:val="24"/>
          <w:szCs w:val="24"/>
          <w:shd w:val="clear" w:color="auto" w:fill="FFFFFF"/>
        </w:rPr>
        <w:t xml:space="preserve"> monopoly of their trade. This had also given the British officials the autonomy to impose new taxes on the native Americans. Another point of concern is the contribution of the conflict between Virginia debtors and British merchant’s creditors and how it aggravated the imperial struggles. Another issue of concern is how first the slavery rate had shifted from 9% to about 40% in 1775 and with the greatest population being that of Anglo Virginians</w:t>
      </w:r>
      <w:r w:rsidR="005214D2" w:rsidRPr="005214D2">
        <w:rPr>
          <w:rFonts w:ascii="Times New Roman" w:hAnsi="Times New Roman" w:cs="Times New Roman"/>
          <w:color w:val="222222"/>
          <w:sz w:val="24"/>
          <w:szCs w:val="24"/>
          <w:shd w:val="clear" w:color="auto" w:fill="FFFFFF"/>
        </w:rPr>
        <w:t xml:space="preserve"> </w:t>
      </w:r>
      <w:r w:rsidRPr="005214D2">
        <w:rPr>
          <w:rFonts w:ascii="Times New Roman" w:hAnsi="Times New Roman" w:cs="Times New Roman"/>
          <w:color w:val="222222"/>
          <w:sz w:val="24"/>
          <w:szCs w:val="24"/>
          <w:shd w:val="clear" w:color="auto" w:fill="FFFFFF"/>
        </w:rPr>
        <w:t>(Holton, 2011).</w:t>
      </w:r>
    </w:p>
    <w:p w:rsidR="00CB1374" w:rsidRPr="001D47F9"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 xml:space="preserve">For that reason, some sorts of colony’s trade boycotts were evident (Holton, 2011). The common farmers and slaves were so frightened to the Virginia gentry and hence </w:t>
      </w:r>
      <w:r w:rsidR="008903DA">
        <w:rPr>
          <w:rFonts w:ascii="Times New Roman" w:hAnsi="Times New Roman" w:cs="Times New Roman"/>
          <w:color w:val="222222"/>
          <w:sz w:val="24"/>
          <w:szCs w:val="24"/>
          <w:shd w:val="clear" w:color="auto" w:fill="FFFFFF"/>
        </w:rPr>
        <w:t>t</w:t>
      </w:r>
      <w:r w:rsidRPr="001D47F9">
        <w:rPr>
          <w:rFonts w:ascii="Times New Roman" w:hAnsi="Times New Roman" w:cs="Times New Roman"/>
          <w:color w:val="222222"/>
          <w:sz w:val="24"/>
          <w:szCs w:val="24"/>
          <w:shd w:val="clear" w:color="auto" w:fill="FFFFFF"/>
        </w:rPr>
        <w:t>here seemed to be no choice rather than to declare independence in hopes for re-accessing the power of the situation. In this concern, the political elites were deeply touched by the dedication of the slaves and small farmers to fight for their rights in greater dimensions; a factor which greatly facilitated to the Virginia’s independence.</w:t>
      </w:r>
    </w:p>
    <w:p w:rsidR="00CB1374" w:rsidRPr="001D47F9" w:rsidRDefault="00CB1374" w:rsidP="001D47F9">
      <w:pPr>
        <w:spacing w:line="480" w:lineRule="auto"/>
        <w:ind w:firstLine="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 xml:space="preserve">Holton also shared that taking stock of contenting and clashing groups, and the forced founders </w:t>
      </w:r>
      <w:r w:rsidR="001D47F9">
        <w:rPr>
          <w:rFonts w:ascii="Times New Roman" w:hAnsi="Times New Roman" w:cs="Times New Roman"/>
          <w:color w:val="222222"/>
          <w:sz w:val="24"/>
          <w:szCs w:val="24"/>
          <w:shd w:val="clear" w:color="auto" w:fill="FFFFFF"/>
        </w:rPr>
        <w:t>made</w:t>
      </w:r>
      <w:r w:rsidRPr="001D47F9">
        <w:rPr>
          <w:rFonts w:ascii="Times New Roman" w:hAnsi="Times New Roman" w:cs="Times New Roman"/>
          <w:color w:val="222222"/>
          <w:sz w:val="24"/>
          <w:szCs w:val="24"/>
          <w:shd w:val="clear" w:color="auto" w:fill="FFFFFF"/>
        </w:rPr>
        <w:t xml:space="preserve"> another essential contribution concerning how, despite their obvious differences, common strategies and common principles animated these peoples. He argues that every member </w:t>
      </w:r>
      <w:r w:rsidRPr="001D47F9">
        <w:rPr>
          <w:rFonts w:ascii="Times New Roman" w:hAnsi="Times New Roman" w:cs="Times New Roman"/>
          <w:color w:val="222222"/>
          <w:sz w:val="24"/>
          <w:szCs w:val="24"/>
          <w:shd w:val="clear" w:color="auto" w:fill="FFFFFF"/>
        </w:rPr>
        <w:lastRenderedPageBreak/>
        <w:t>of the contending group</w:t>
      </w:r>
      <w:r w:rsidR="001D47F9">
        <w:rPr>
          <w:rFonts w:ascii="Times New Roman" w:hAnsi="Times New Roman" w:cs="Times New Roman"/>
          <w:color w:val="222222"/>
          <w:sz w:val="24"/>
          <w:szCs w:val="24"/>
          <w:shd w:val="clear" w:color="auto" w:fill="FFFFFF"/>
        </w:rPr>
        <w:t>s</w:t>
      </w:r>
      <w:r w:rsidRPr="001D47F9">
        <w:rPr>
          <w:rFonts w:ascii="Times New Roman" w:hAnsi="Times New Roman" w:cs="Times New Roman"/>
          <w:color w:val="222222"/>
          <w:sz w:val="24"/>
          <w:szCs w:val="24"/>
          <w:shd w:val="clear" w:color="auto" w:fill="FFFFFF"/>
        </w:rPr>
        <w:t xml:space="preserve"> pursued a dream of freedom, they all believed that they had an opportunity to realize their goals only if they joined efforts with other elites of like mind.  According to Holton </w:t>
      </w:r>
      <w:r w:rsidR="006E1417">
        <w:rPr>
          <w:rFonts w:ascii="Times New Roman" w:hAnsi="Times New Roman" w:cs="Times New Roman"/>
          <w:color w:val="222222"/>
          <w:sz w:val="24"/>
          <w:szCs w:val="24"/>
          <w:shd w:val="clear" w:color="auto" w:fill="FFFFFF"/>
        </w:rPr>
        <w:t>(</w:t>
      </w:r>
      <w:r w:rsidRPr="001D47F9">
        <w:rPr>
          <w:rFonts w:ascii="Times New Roman" w:hAnsi="Times New Roman" w:cs="Times New Roman"/>
          <w:color w:val="222222"/>
          <w:sz w:val="24"/>
          <w:szCs w:val="24"/>
          <w:shd w:val="clear" w:color="auto" w:fill="FFFFFF"/>
        </w:rPr>
        <w:t>2011</w:t>
      </w:r>
      <w:r w:rsidR="006E1417">
        <w:rPr>
          <w:rFonts w:ascii="Times New Roman" w:hAnsi="Times New Roman" w:cs="Times New Roman"/>
          <w:color w:val="222222"/>
          <w:sz w:val="24"/>
          <w:szCs w:val="24"/>
          <w:shd w:val="clear" w:color="auto" w:fill="FFFFFF"/>
        </w:rPr>
        <w:t>)</w:t>
      </w:r>
      <w:r w:rsidRPr="001D47F9">
        <w:rPr>
          <w:rFonts w:ascii="Times New Roman" w:hAnsi="Times New Roman" w:cs="Times New Roman"/>
          <w:color w:val="222222"/>
          <w:sz w:val="24"/>
          <w:szCs w:val="24"/>
          <w:shd w:val="clear" w:color="auto" w:fill="FFFFFF"/>
        </w:rPr>
        <w:t>, the Indians craved for intertribal unity based on the idea of common color and the African Americans fighting for slave resistance based on a common plight. Based on this assertions, Virginia’s political elites subscribed to this idea by enforcing boycotts as well as common folk seeking a greater say in public affairs. According to Holton, activists of all stripes found that an effective strategy for building political unity was inciting their supporters to embrace broader identities.</w:t>
      </w:r>
    </w:p>
    <w:p w:rsidR="00CB1374" w:rsidRPr="001D47F9" w:rsidRDefault="006E1417" w:rsidP="001D47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 di</w:t>
      </w:r>
      <w:r w:rsidR="00CB1374" w:rsidRPr="001D47F9">
        <w:rPr>
          <w:rFonts w:ascii="Times New Roman" w:hAnsi="Times New Roman" w:cs="Times New Roman"/>
          <w:color w:val="222222"/>
          <w:sz w:val="24"/>
          <w:szCs w:val="24"/>
          <w:shd w:val="clear" w:color="auto" w:fill="FFFFFF"/>
        </w:rPr>
        <w:t>d a good job by revealing the role of forced founders and political elites in the framing of the American Revolution in Virginia. The author is quite convincing in that he tried to make a significant correlation amid his discussion to the main argument and he supports his argument clearly and sufficiently. Arguably, Holton depicts his most persuasive effort when he details circumstances in which the interests of the elites were more or less compatible with the welfares of the commonly marginalized subordinate classes who occupied their colonial world.</w:t>
      </w:r>
    </w:p>
    <w:p w:rsidR="001D47F9" w:rsidRDefault="001D47F9" w:rsidP="001D47F9">
      <w:pPr>
        <w:spacing w:line="480" w:lineRule="auto"/>
        <w:jc w:val="center"/>
        <w:rPr>
          <w:rFonts w:ascii="Times New Roman" w:hAnsi="Times New Roman" w:cs="Times New Roman"/>
          <w:color w:val="222222"/>
          <w:sz w:val="24"/>
          <w:szCs w:val="24"/>
          <w:shd w:val="clear" w:color="auto" w:fill="FFFFFF"/>
        </w:rPr>
      </w:pPr>
    </w:p>
    <w:p w:rsidR="001D47F9" w:rsidRDefault="001D47F9" w:rsidP="001D47F9">
      <w:pPr>
        <w:spacing w:line="480" w:lineRule="auto"/>
        <w:jc w:val="center"/>
        <w:rPr>
          <w:rFonts w:ascii="Times New Roman" w:hAnsi="Times New Roman" w:cs="Times New Roman"/>
          <w:color w:val="222222"/>
          <w:sz w:val="24"/>
          <w:szCs w:val="24"/>
          <w:shd w:val="clear" w:color="auto" w:fill="FFFFFF"/>
        </w:rPr>
      </w:pPr>
    </w:p>
    <w:p w:rsidR="00D55FC9" w:rsidRDefault="00D55FC9" w:rsidP="001D47F9">
      <w:pPr>
        <w:spacing w:line="480" w:lineRule="auto"/>
        <w:jc w:val="center"/>
        <w:rPr>
          <w:rFonts w:ascii="Times New Roman" w:hAnsi="Times New Roman" w:cs="Times New Roman"/>
          <w:color w:val="222222"/>
          <w:sz w:val="24"/>
          <w:szCs w:val="24"/>
          <w:shd w:val="clear" w:color="auto" w:fill="FFFFFF"/>
        </w:rPr>
      </w:pPr>
    </w:p>
    <w:p w:rsidR="00D55FC9" w:rsidRDefault="00D55FC9" w:rsidP="001D47F9">
      <w:pPr>
        <w:spacing w:line="480" w:lineRule="auto"/>
        <w:jc w:val="center"/>
        <w:rPr>
          <w:rFonts w:ascii="Times New Roman" w:hAnsi="Times New Roman" w:cs="Times New Roman"/>
          <w:color w:val="222222"/>
          <w:sz w:val="24"/>
          <w:szCs w:val="24"/>
          <w:shd w:val="clear" w:color="auto" w:fill="FFFFFF"/>
        </w:rPr>
      </w:pPr>
    </w:p>
    <w:p w:rsidR="00D55FC9" w:rsidRDefault="00D55FC9" w:rsidP="00D55FC9">
      <w:pPr>
        <w:spacing w:line="480" w:lineRule="auto"/>
        <w:rPr>
          <w:rFonts w:ascii="Times New Roman" w:hAnsi="Times New Roman" w:cs="Times New Roman"/>
          <w:color w:val="222222"/>
          <w:sz w:val="24"/>
          <w:szCs w:val="24"/>
          <w:shd w:val="clear" w:color="auto" w:fill="FFFFFF"/>
        </w:rPr>
      </w:pPr>
    </w:p>
    <w:p w:rsidR="00D55FC9" w:rsidRDefault="00D55FC9" w:rsidP="00D55FC9">
      <w:pPr>
        <w:spacing w:line="480" w:lineRule="auto"/>
        <w:rPr>
          <w:rFonts w:ascii="Times New Roman" w:hAnsi="Times New Roman" w:cs="Times New Roman"/>
          <w:color w:val="222222"/>
          <w:sz w:val="24"/>
          <w:szCs w:val="24"/>
          <w:shd w:val="clear" w:color="auto" w:fill="FFFFFF"/>
        </w:rPr>
      </w:pPr>
    </w:p>
    <w:p w:rsidR="001D47F9" w:rsidRDefault="001D47F9" w:rsidP="001D47F9">
      <w:pPr>
        <w:spacing w:line="480" w:lineRule="auto"/>
        <w:jc w:val="center"/>
        <w:rPr>
          <w:rFonts w:ascii="Times New Roman" w:hAnsi="Times New Roman" w:cs="Times New Roman"/>
          <w:color w:val="222222"/>
          <w:sz w:val="24"/>
          <w:szCs w:val="24"/>
          <w:shd w:val="clear" w:color="auto" w:fill="FFFFFF"/>
        </w:rPr>
      </w:pPr>
    </w:p>
    <w:p w:rsidR="0051681B" w:rsidRPr="001D47F9" w:rsidRDefault="0051681B" w:rsidP="001D47F9">
      <w:pPr>
        <w:spacing w:line="480" w:lineRule="auto"/>
        <w:jc w:val="cente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lastRenderedPageBreak/>
        <w:t>Reference.</w:t>
      </w:r>
    </w:p>
    <w:p w:rsidR="0051681B" w:rsidRPr="001D47F9" w:rsidRDefault="0051681B" w:rsidP="001D47F9">
      <w:pPr>
        <w:spacing w:line="480" w:lineRule="auto"/>
        <w:ind w:left="720" w:hanging="720"/>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Holton, W. (2011). </w:t>
      </w:r>
      <w:r w:rsidRPr="001D47F9">
        <w:rPr>
          <w:rFonts w:ascii="Times New Roman" w:hAnsi="Times New Roman" w:cs="Times New Roman"/>
          <w:i/>
          <w:iCs/>
          <w:color w:val="222222"/>
          <w:sz w:val="24"/>
          <w:szCs w:val="24"/>
          <w:shd w:val="clear" w:color="auto" w:fill="FFFFFF"/>
        </w:rPr>
        <w:t>Forced founders: Indians, debtors, slaves, and the making of the American Revolution in Virginia</w:t>
      </w:r>
      <w:r w:rsidRPr="001D47F9">
        <w:rPr>
          <w:rFonts w:ascii="Times New Roman" w:hAnsi="Times New Roman" w:cs="Times New Roman"/>
          <w:color w:val="222222"/>
          <w:sz w:val="24"/>
          <w:szCs w:val="24"/>
          <w:shd w:val="clear" w:color="auto" w:fill="FFFFFF"/>
        </w:rPr>
        <w:t>. UNC Press Books.</w:t>
      </w:r>
    </w:p>
    <w:p w:rsidR="0051681B" w:rsidRPr="001D47F9" w:rsidRDefault="0051681B" w:rsidP="001D47F9">
      <w:pPr>
        <w:spacing w:line="480" w:lineRule="auto"/>
        <w:rPr>
          <w:rFonts w:ascii="Times New Roman" w:hAnsi="Times New Roman" w:cs="Times New Roman"/>
          <w:color w:val="222222"/>
          <w:sz w:val="24"/>
          <w:szCs w:val="24"/>
          <w:shd w:val="clear" w:color="auto" w:fill="FFFFFF"/>
        </w:rPr>
      </w:pPr>
    </w:p>
    <w:sectPr w:rsidR="0051681B" w:rsidRPr="001D47F9" w:rsidSect="001D47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A01" w:rsidRDefault="00E11A01" w:rsidP="001D47F9">
      <w:pPr>
        <w:spacing w:after="0" w:line="240" w:lineRule="auto"/>
      </w:pPr>
      <w:r>
        <w:separator/>
      </w:r>
    </w:p>
  </w:endnote>
  <w:endnote w:type="continuationSeparator" w:id="1">
    <w:p w:rsidR="00E11A01" w:rsidRDefault="00E11A01" w:rsidP="001D4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A01" w:rsidRDefault="00E11A01" w:rsidP="001D47F9">
      <w:pPr>
        <w:spacing w:after="0" w:line="240" w:lineRule="auto"/>
      </w:pPr>
      <w:r>
        <w:separator/>
      </w:r>
    </w:p>
  </w:footnote>
  <w:footnote w:type="continuationSeparator" w:id="1">
    <w:p w:rsidR="00E11A01" w:rsidRDefault="00E11A01" w:rsidP="001D4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F9" w:rsidRPr="001D47F9" w:rsidRDefault="001D47F9" w:rsidP="001D47F9">
    <w:pPr>
      <w:rPr>
        <w:rFonts w:ascii="Times New Roman" w:hAnsi="Times New Roman" w:cs="Times New Roman"/>
        <w:color w:val="222222"/>
        <w:sz w:val="24"/>
        <w:szCs w:val="24"/>
        <w:shd w:val="clear" w:color="auto" w:fill="FFFFFF"/>
      </w:rPr>
    </w:pPr>
    <w:r w:rsidRPr="001D47F9">
      <w:rPr>
        <w:rFonts w:ascii="Times New Roman" w:hAnsi="Times New Roman" w:cs="Times New Roman"/>
        <w:color w:val="222222"/>
        <w:sz w:val="24"/>
        <w:szCs w:val="24"/>
        <w:shd w:val="clear" w:color="auto" w:fill="FFFFFF"/>
      </w:rPr>
      <w:t>THE U.S. HISTORY: BOOK REVIEW.</w:t>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42368716"/>
        <w:docPartObj>
          <w:docPartGallery w:val="Page Numbers (Top of Page)"/>
          <w:docPartUnique/>
        </w:docPartObj>
      </w:sdtPr>
      <w:sdtEndPr>
        <w:rPr>
          <w:noProof/>
        </w:rPr>
      </w:sdtEndPr>
      <w:sdtContent>
        <w:r w:rsidR="00BD4B44" w:rsidRPr="001D47F9">
          <w:rPr>
            <w:rFonts w:ascii="Times New Roman" w:hAnsi="Times New Roman" w:cs="Times New Roman"/>
            <w:sz w:val="24"/>
            <w:szCs w:val="24"/>
          </w:rPr>
          <w:fldChar w:fldCharType="begin"/>
        </w:r>
        <w:r w:rsidRPr="001D47F9">
          <w:rPr>
            <w:rFonts w:ascii="Times New Roman" w:hAnsi="Times New Roman" w:cs="Times New Roman"/>
            <w:sz w:val="24"/>
            <w:szCs w:val="24"/>
          </w:rPr>
          <w:instrText xml:space="preserve"> PAGE   \* MERGEFORMAT </w:instrText>
        </w:r>
        <w:r w:rsidR="00BD4B44" w:rsidRPr="001D47F9">
          <w:rPr>
            <w:rFonts w:ascii="Times New Roman" w:hAnsi="Times New Roman" w:cs="Times New Roman"/>
            <w:sz w:val="24"/>
            <w:szCs w:val="24"/>
          </w:rPr>
          <w:fldChar w:fldCharType="separate"/>
        </w:r>
        <w:r w:rsidR="005214D2">
          <w:rPr>
            <w:rFonts w:ascii="Times New Roman" w:hAnsi="Times New Roman" w:cs="Times New Roman"/>
            <w:noProof/>
            <w:sz w:val="24"/>
            <w:szCs w:val="24"/>
          </w:rPr>
          <w:t>5</w:t>
        </w:r>
        <w:r w:rsidR="00BD4B44" w:rsidRPr="001D47F9">
          <w:rPr>
            <w:rFonts w:ascii="Times New Roman" w:hAnsi="Times New Roman" w:cs="Times New Roman"/>
            <w:noProof/>
            <w:sz w:val="24"/>
            <w:szCs w:val="24"/>
          </w:rPr>
          <w:fldChar w:fldCharType="end"/>
        </w:r>
      </w:sdtContent>
    </w:sdt>
  </w:p>
  <w:p w:rsidR="001D47F9" w:rsidRPr="001D47F9" w:rsidRDefault="001D47F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F9" w:rsidRPr="001D47F9" w:rsidRDefault="001D47F9" w:rsidP="001D47F9">
    <w:pPr>
      <w:rPr>
        <w:rFonts w:ascii="Times New Roman" w:hAnsi="Times New Roman" w:cs="Times New Roman"/>
        <w:sz w:val="24"/>
        <w:szCs w:val="24"/>
      </w:rPr>
    </w:pPr>
    <w:r w:rsidRPr="001D47F9">
      <w:rPr>
        <w:rFonts w:ascii="Times New Roman" w:hAnsi="Times New Roman" w:cs="Times New Roman"/>
        <w:sz w:val="24"/>
        <w:szCs w:val="24"/>
      </w:rPr>
      <w:t xml:space="preserve">Running Head: </w:t>
    </w:r>
    <w:r w:rsidRPr="001D47F9">
      <w:rPr>
        <w:rFonts w:ascii="Times New Roman" w:hAnsi="Times New Roman" w:cs="Times New Roman"/>
        <w:color w:val="222222"/>
        <w:sz w:val="24"/>
        <w:szCs w:val="24"/>
        <w:shd w:val="clear" w:color="auto" w:fill="FFFFFF"/>
      </w:rPr>
      <w:t>THE U.S. HISTORY: BOOK REVIEW.</w:t>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r w:rsidRPr="001D47F9">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69803781"/>
        <w:docPartObj>
          <w:docPartGallery w:val="Page Numbers (Top of Page)"/>
          <w:docPartUnique/>
        </w:docPartObj>
      </w:sdtPr>
      <w:sdtEndPr>
        <w:rPr>
          <w:noProof/>
        </w:rPr>
      </w:sdtEndPr>
      <w:sdtContent>
        <w:r w:rsidR="00BD4B44" w:rsidRPr="001D47F9">
          <w:rPr>
            <w:rFonts w:ascii="Times New Roman" w:hAnsi="Times New Roman" w:cs="Times New Roman"/>
            <w:sz w:val="24"/>
            <w:szCs w:val="24"/>
          </w:rPr>
          <w:fldChar w:fldCharType="begin"/>
        </w:r>
        <w:r w:rsidRPr="001D47F9">
          <w:rPr>
            <w:rFonts w:ascii="Times New Roman" w:hAnsi="Times New Roman" w:cs="Times New Roman"/>
            <w:sz w:val="24"/>
            <w:szCs w:val="24"/>
          </w:rPr>
          <w:instrText xml:space="preserve"> PAGE   \* MERGEFORMAT </w:instrText>
        </w:r>
        <w:r w:rsidR="00BD4B44" w:rsidRPr="001D47F9">
          <w:rPr>
            <w:rFonts w:ascii="Times New Roman" w:hAnsi="Times New Roman" w:cs="Times New Roman"/>
            <w:sz w:val="24"/>
            <w:szCs w:val="24"/>
          </w:rPr>
          <w:fldChar w:fldCharType="separate"/>
        </w:r>
        <w:r w:rsidR="005214D2">
          <w:rPr>
            <w:rFonts w:ascii="Times New Roman" w:hAnsi="Times New Roman" w:cs="Times New Roman"/>
            <w:noProof/>
            <w:sz w:val="24"/>
            <w:szCs w:val="24"/>
          </w:rPr>
          <w:t>1</w:t>
        </w:r>
        <w:r w:rsidR="00BD4B44" w:rsidRPr="001D47F9">
          <w:rPr>
            <w:rFonts w:ascii="Times New Roman" w:hAnsi="Times New Roman" w:cs="Times New Roman"/>
            <w:noProof/>
            <w:sz w:val="24"/>
            <w:szCs w:val="24"/>
          </w:rPr>
          <w:fldChar w:fldCharType="end"/>
        </w:r>
      </w:sdtContent>
    </w:sdt>
  </w:p>
  <w:p w:rsidR="001D47F9" w:rsidRPr="001D47F9" w:rsidRDefault="001D47F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843C7"/>
    <w:rsid w:val="000412C4"/>
    <w:rsid w:val="00055CA4"/>
    <w:rsid w:val="000718C9"/>
    <w:rsid w:val="000E01A4"/>
    <w:rsid w:val="000E45E1"/>
    <w:rsid w:val="00150521"/>
    <w:rsid w:val="00184898"/>
    <w:rsid w:val="001D47F9"/>
    <w:rsid w:val="001D6C05"/>
    <w:rsid w:val="001F597C"/>
    <w:rsid w:val="00211891"/>
    <w:rsid w:val="003849C0"/>
    <w:rsid w:val="0051681B"/>
    <w:rsid w:val="005214D2"/>
    <w:rsid w:val="005D0DE4"/>
    <w:rsid w:val="00623AD8"/>
    <w:rsid w:val="0063346D"/>
    <w:rsid w:val="0069584F"/>
    <w:rsid w:val="006C2816"/>
    <w:rsid w:val="006E1417"/>
    <w:rsid w:val="00867380"/>
    <w:rsid w:val="008753F7"/>
    <w:rsid w:val="008843C7"/>
    <w:rsid w:val="008903DA"/>
    <w:rsid w:val="008B1652"/>
    <w:rsid w:val="009B3FD5"/>
    <w:rsid w:val="00A464D0"/>
    <w:rsid w:val="00AB343D"/>
    <w:rsid w:val="00B9770D"/>
    <w:rsid w:val="00BD4B44"/>
    <w:rsid w:val="00CB1374"/>
    <w:rsid w:val="00D21EAF"/>
    <w:rsid w:val="00D24555"/>
    <w:rsid w:val="00D55FC9"/>
    <w:rsid w:val="00D9462B"/>
    <w:rsid w:val="00E11A01"/>
    <w:rsid w:val="00E9091D"/>
    <w:rsid w:val="00EF0DF5"/>
    <w:rsid w:val="00F13D2E"/>
    <w:rsid w:val="00F961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7F9"/>
  </w:style>
  <w:style w:type="paragraph" w:styleId="Footer">
    <w:name w:val="footer"/>
    <w:basedOn w:val="Normal"/>
    <w:link w:val="FooterChar"/>
    <w:uiPriority w:val="99"/>
    <w:unhideWhenUsed/>
    <w:rsid w:val="001D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7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2018-09-27T04:40:00Z</dcterms:created>
  <dcterms:modified xsi:type="dcterms:W3CDTF">2018-09-27T04:40:00Z</dcterms:modified>
</cp:coreProperties>
</file>